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spacing w:lineRule="auto" w:line="240"/>
        <w:ind w:hanging="0"/>
        <w:jc w:val="center"/>
        <w:rPr/>
      </w:pPr>
      <w:r>
        <w:rPr>
          <w:szCs w:val="24"/>
        </w:rPr>
        <w:t xml:space="preserve">Бюджетное  учреждение Республики Алтай </w:t>
      </w:r>
    </w:p>
    <w:p>
      <w:pPr>
        <w:pStyle w:val="211"/>
        <w:spacing w:lineRule="auto" w:line="240"/>
        <w:ind w:hanging="0"/>
        <w:jc w:val="center"/>
        <w:rPr/>
      </w:pPr>
      <w:r>
        <w:rPr>
          <w:szCs w:val="24"/>
        </w:rPr>
        <w:t xml:space="preserve">для детей, нуждающихся в </w:t>
      </w:r>
      <w:r>
        <w:rPr>
          <w:bCs/>
        </w:rPr>
        <w:t>психолого</w:t>
      </w:r>
      <w:r>
        <w:rPr/>
        <w:t xml:space="preserve">-педагогической и </w:t>
      </w:r>
      <w:r>
        <w:rPr>
          <w:bCs/>
        </w:rPr>
        <w:t>медико</w:t>
      </w:r>
      <w:r>
        <w:rPr/>
        <w:t>-социальной</w:t>
      </w:r>
    </w:p>
    <w:p>
      <w:pPr>
        <w:pStyle w:val="211"/>
        <w:spacing w:lineRule="auto" w:line="240"/>
        <w:ind w:hanging="0"/>
        <w:jc w:val="center"/>
        <w:rPr>
          <w:szCs w:val="24"/>
        </w:rPr>
      </w:pPr>
      <w:r>
        <w:rPr/>
        <w:t xml:space="preserve">помощи </w:t>
      </w:r>
      <w:r>
        <w:rPr>
          <w:szCs w:val="24"/>
        </w:rPr>
        <w:t>«Центр психолого-медико-социального сопровождения»</w:t>
      </w:r>
    </w:p>
    <w:p>
      <w:pPr>
        <w:pStyle w:val="Normal"/>
        <w:tabs>
          <w:tab w:val="left" w:pos="550" w:leader="none"/>
        </w:tabs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550" w:leader="none"/>
        </w:tabs>
        <w:jc w:val="center"/>
        <w:rPr>
          <w:color w:val="000000"/>
        </w:rPr>
      </w:pPr>
      <w:r>
        <w:rPr>
          <w:color w:val="000000"/>
        </w:rPr>
      </w:r>
    </w:p>
    <w:tbl>
      <w:tblPr>
        <w:tblW w:w="1044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175"/>
        <w:gridCol w:w="4272"/>
      </w:tblGrid>
      <w:tr>
        <w:trPr/>
        <w:tc>
          <w:tcPr>
            <w:tcW w:w="6175" w:type="dxa"/>
            <w:tcBorders/>
            <w:shd w:fill="auto" w:val="clear"/>
          </w:tcPr>
          <w:p>
            <w:pPr>
              <w:pStyle w:val="Iauiue"/>
              <w:widowControl w:val="false"/>
              <w:snapToGrid w:val="false"/>
              <w:ind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2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Times New Roman" w:cs="Times New Roman" w:ascii="Times New Roman" w:hAnsi="Times New Roman"/>
              </w:rPr>
              <w:t>УТВЕРЖДАЮ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</w:rPr>
              <w:t>Врио директора БУ РА «Центр ПМСС»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</w:rPr>
              <w:t>_________________  Н.Н. Кащеева</w:t>
            </w:r>
          </w:p>
          <w:p>
            <w:pPr>
              <w:pStyle w:val="Iauiue"/>
              <w:widowControl w:val="false"/>
              <w:snapToGrid w:val="false"/>
              <w:ind w:right="0" w:hanging="0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«____» _________  201__ г. №____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211"/>
        <w:spacing w:lineRule="auto" w:line="240"/>
        <w:ind w:hanging="0"/>
        <w:jc w:val="center"/>
        <w:rPr/>
      </w:pPr>
      <w:r>
        <w:rPr>
          <w:b/>
          <w:sz w:val="28"/>
          <w:szCs w:val="28"/>
        </w:rPr>
        <w:t xml:space="preserve">Порядок оформления возникновения, приостановления и прекращения отношений между </w:t>
      </w:r>
      <w:r>
        <w:rPr>
          <w:rFonts w:eastAsia="ＭＳ 明朝" w:eastAsiaTheme="minorEastAsia"/>
          <w:b/>
          <w:sz w:val="28"/>
          <w:szCs w:val="28"/>
        </w:rPr>
        <w:t xml:space="preserve">бюджетным  учреждением Республики Алтай для детей, нуждающихся в психолого-педагогической и медико-социальной </w:t>
      </w:r>
      <w:r>
        <w:rPr>
          <w:b/>
          <w:sz w:val="28"/>
          <w:szCs w:val="28"/>
        </w:rPr>
        <w:t>помощи «Центр психолого-медико-социального сопровождения» и обучающимися по дополнительным профессиональным программам (программам повышения квалификации)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Настоящий Порядок оформления возникновения, приостановления и прекращения отношений между бюджетным  учреждением Республики Алтай для детей, нуждающихся в психолого-педагогической и медико-социальной помощи «Центр психолого-медико-социального сопровождения» и обучающимися по дополнительным профессиональным программам (программам повышения квалификации) (далее - Порядок) разработан в соответствии с Законом Российской Федерации от 07.02.1992 г. № 2300-1 «О защите прав потребителей», Федеральным законом Российской Федерации от 29.12.2012 г. № 273-ФЗ «Об образовании в Российской Федерации», Уставом и локальными актами БОУ «Центр психолого-медико-социального сопровождения», также иных законодательных актов Российской Федерации.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Порядок регламентирует оформление возникновения, приостановления и прекращения образовательных отношений между бюджетным учреждением Республики Алтай для детей, нуждающихся в психолого-педагогической и медико-социальной помощи «Центр психолого-медико-социального сопровождения» (далее – Центр) и обучающимися (далее – слушателями), при реализации программ дополнительного профессионального образования.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sz w:val="28"/>
          <w:szCs w:val="28"/>
        </w:rPr>
        <w:t>Возникновение образовательных отношений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Основанием возникновения образовательных отношений между Центром и обучающимися (далее – слушатели) является заявка слушателя на обучение и приказ директора Центра о приеме слушателей на обучение. 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Изданию приказа директора Центра о приеме слушателей на обучение предшествует заключение договора об оказании платных образовательных услуг. 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2.2.1. Центр обязан до заключения договора и в период его действия предоставлять слушателю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2.2.2. Центр обязан довести до слушателей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 (наименование программы, срок ее реализации, форма обучения, в том числе использование дистанционных образовательных технологий, стоимость обучения). 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2.2.3. Договор об оказании платных образовательных услуг заключается в</w:t>
      </w:r>
      <w:r>
        <w:rPr>
          <w:rFonts w:ascii="Times New Roman" w:hAnsi="Times New Roman"/>
          <w:sz w:val="28"/>
          <w:szCs w:val="28"/>
        </w:rPr>
        <w:t xml:space="preserve"> простой письменной форме между: 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Центром и слушателем, зачисляемым на обучение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, желающим пройти обучение по </w:t>
      </w:r>
      <w:r>
        <w:rPr>
          <w:rFonts w:cs="Times New Roman" w:ascii="Times New Roman" w:hAnsi="Times New Roman"/>
          <w:sz w:val="28"/>
          <w:szCs w:val="28"/>
        </w:rPr>
        <w:t>дополнительной профессиональной программе на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курсах повышения квалификации за свой счет</w:t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Центром и юридическим лицом, обязующимся оплатить обучение слушателя, зачисляемого на обучение. 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2.2.4.</w:t>
      </w:r>
      <w:r>
        <w:rPr>
          <w:rFonts w:ascii="Times New Roman" w:hAnsi="Times New Roman"/>
          <w:sz w:val="28"/>
          <w:szCs w:val="28"/>
        </w:rPr>
        <w:t xml:space="preserve"> В договоре об оказании платных</w:t>
      </w:r>
      <w:r>
        <w:rPr>
          <w:rFonts w:cs="Times New Roman" w:ascii="Times New Roman" w:hAnsi="Times New Roman"/>
          <w:sz w:val="28"/>
          <w:szCs w:val="28"/>
        </w:rPr>
        <w:t xml:space="preserve"> образовательных услуг</w:t>
      </w:r>
      <w:r>
        <w:rPr>
          <w:rFonts w:ascii="Times New Roman" w:hAnsi="Times New Roman"/>
          <w:sz w:val="28"/>
          <w:szCs w:val="28"/>
        </w:rPr>
        <w:t xml:space="preserve"> указываются основные характеристики предоставляемого образования, в том числе, вид, уровень и (или) направленность </w:t>
      </w:r>
      <w:r>
        <w:rPr>
          <w:rFonts w:cs="Times New Roman" w:ascii="Times New Roman" w:hAnsi="Times New Roman"/>
          <w:sz w:val="28"/>
          <w:szCs w:val="28"/>
        </w:rPr>
        <w:t>дополнительной профессиональной программы</w:t>
      </w:r>
      <w:r>
        <w:rPr>
          <w:rFonts w:ascii="Times New Roman" w:hAnsi="Times New Roman"/>
          <w:sz w:val="28"/>
          <w:szCs w:val="28"/>
        </w:rPr>
        <w:t xml:space="preserve">, формы обучения, срок освоения дополнительной </w:t>
      </w:r>
      <w:r>
        <w:rPr>
          <w:rFonts w:cs="Times New Roman" w:ascii="Times New Roman" w:hAnsi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/>
          <w:sz w:val="28"/>
          <w:szCs w:val="28"/>
        </w:rPr>
        <w:t xml:space="preserve">программы. 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2.2.5.</w:t>
      </w:r>
      <w:r>
        <w:rPr>
          <w:rFonts w:ascii="Times New Roman" w:hAnsi="Times New Roman"/>
          <w:sz w:val="28"/>
          <w:szCs w:val="28"/>
        </w:rPr>
        <w:t xml:space="preserve"> В договоре </w:t>
      </w:r>
      <w:r>
        <w:rPr>
          <w:rFonts w:cs="Times New Roman" w:ascii="Times New Roman" w:hAnsi="Times New Roman"/>
          <w:sz w:val="28"/>
          <w:szCs w:val="28"/>
        </w:rPr>
        <w:t>об оказании платных образовательных услуг (далее – договор)</w:t>
      </w:r>
      <w:r>
        <w:rPr>
          <w:rFonts w:ascii="Times New Roman" w:hAnsi="Times New Roman"/>
          <w:sz w:val="28"/>
          <w:szCs w:val="28"/>
        </w:rPr>
        <w:t xml:space="preserve">, заключаемом при приеме на обучение за счет средств физического и (или) юридического лица, указываются полная стоимость платных образовательных услуг и порядок их оплаты.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2.2.6. Сведения, указанные в договоре, должны соответствовать информации,  размещенной на официальном сайте Центра в информационно-телекоммуникационной сети «Интернет» на дату заключения договора.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2.2.7. Иное, связанное с договором, заключаемым с Центром, регулируется нормами </w:t>
      </w:r>
      <w:r>
        <w:rPr>
          <w:rFonts w:ascii="Times New Roman" w:hAnsi="Times New Roman"/>
          <w:iCs/>
          <w:sz w:val="28"/>
          <w:szCs w:val="28"/>
        </w:rPr>
        <w:t>Гражданского кодекса Российской Федерации</w:t>
      </w:r>
      <w:r>
        <w:rPr>
          <w:rFonts w:cs="Times New Roman" w:ascii="Times New Roman" w:hAnsi="Times New Roman"/>
          <w:sz w:val="28"/>
          <w:szCs w:val="28"/>
        </w:rPr>
        <w:t xml:space="preserve">, а также Постановлением Правительства РФ от 15.08.2013 г. № 706 </w:t>
      </w:r>
      <w:r>
        <w:rPr>
          <w:rFonts w:ascii="Times New Roman" w:hAnsi="Times New Roman"/>
          <w:sz w:val="28"/>
          <w:szCs w:val="28"/>
        </w:rPr>
        <w:t>«Об утверждении Правил оказания платных образовательных услуг»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2.3. Права и обязанности слушателей, предусмотренные законодательством об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образовании </w:t>
      </w:r>
      <w:r>
        <w:rPr>
          <w:rFonts w:ascii="Times New Roman" w:hAnsi="Times New Roman"/>
          <w:iCs/>
          <w:sz w:val="28"/>
          <w:szCs w:val="28"/>
        </w:rPr>
        <w:t>Российской Федерации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и локальными нормативными актами </w:t>
      </w:r>
      <w:r>
        <w:rPr>
          <w:rFonts w:cs="Times New Roman" w:ascii="Times New Roman" w:hAnsi="Times New Roman"/>
          <w:sz w:val="28"/>
          <w:szCs w:val="28"/>
        </w:rPr>
        <w:t>Центра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, возникают у слушателя, принятого на обучение, с даты указанной в приказе директора </w:t>
      </w:r>
      <w:r>
        <w:rPr>
          <w:rFonts w:cs="Times New Roman" w:ascii="Times New Roman" w:hAnsi="Times New Roman"/>
          <w:sz w:val="28"/>
          <w:szCs w:val="28"/>
        </w:rPr>
        <w:t xml:space="preserve">Центра </w:t>
      </w:r>
      <w:r>
        <w:rPr>
          <w:rFonts w:ascii="Times New Roman" w:hAnsi="Times New Roman"/>
          <w:sz w:val="28"/>
          <w:szCs w:val="28"/>
        </w:rPr>
        <w:t>о приеме на обучение</w:t>
      </w:r>
      <w:r>
        <w:rPr>
          <w:rFonts w:cs="Times New Roman" w:ascii="Times New Roman" w:hAnsi="Times New Roman"/>
          <w:sz w:val="28"/>
          <w:szCs w:val="28"/>
          <w:lang w:val="en-US"/>
        </w:rPr>
        <w:t>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3. Приостановление образовательных отношений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3.1. Образовательные отношения могут быть приостановлены по заявлению слушателя по причине заболевания, командировки, в других случаях по согласованию с директором Центра.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3.2. На период приостановления образовательных отношений образовательная деятельность прерывается.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 Изменение образовательных отношений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Образовательные отношения изменяются в случае изменения условий обучения слушателей по конкретной дополнительной </w:t>
      </w:r>
      <w:r>
        <w:rPr>
          <w:rFonts w:cs="Times New Roman"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программе, повлекших за собой изменение взаимных прав и обязанностей слушателей и Центра, как по инициативе слушателей, так и по инициативе Центра: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перевод на обучение по другой дополнительной </w:t>
      </w:r>
      <w:r>
        <w:rPr>
          <w:rFonts w:cs="Times New Roman"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программе;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иные случаи, предусмотренные нормативно-правовыми актами Центра. </w:t>
      </w:r>
    </w:p>
    <w:p>
      <w:pPr>
        <w:pStyle w:val="Normal"/>
        <w:ind w:firstLine="7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Основанием для изменения образовательных отношений является приказ директора Центра.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5. Прекращение образовательных отношений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5.1. Образовательные отношения между </w:t>
      </w:r>
      <w:r>
        <w:rPr>
          <w:rFonts w:cs="Times New Roman" w:ascii="Times New Roman" w:hAnsi="Times New Roman"/>
          <w:sz w:val="28"/>
          <w:szCs w:val="28"/>
        </w:rPr>
        <w:t>Центром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и слушателем прекращаются в связи с отчислением слушателя из </w:t>
      </w:r>
      <w:r>
        <w:rPr>
          <w:rFonts w:cs="Times New Roman" w:ascii="Times New Roman" w:hAnsi="Times New Roman"/>
          <w:sz w:val="28"/>
          <w:szCs w:val="28"/>
        </w:rPr>
        <w:t>Центра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в следующих случаях: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в связи с завершением обучения;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по инициативе (собственному желанию) слушателя или требованию юридического лица, направившего слушателя на обучение, оформленных соответствующим образом (личное заявление слушателя, письмо юридического лица);</w:t>
      </w:r>
    </w:p>
    <w:p>
      <w:pPr>
        <w:pStyle w:val="NormalWeb"/>
        <w:spacing w:beforeAutospacing="0" w:before="0" w:after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по инициативе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 в связи: невыполнением слушателем обязанностей по добросовествому освоению дополнительной профессиональной программы и учебного плана; с получением отрицательного результата при итоговой аттестации слушателей (на основании решения аттестационной комиссии); нарушением положений Устава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, Правил внутреннего распорядка для слушателей и других локальных актов, регулирующих релизацию дополнительной профессиональной программы в </w:t>
      </w:r>
      <w:r>
        <w:rPr>
          <w:rFonts w:ascii="Times New Roman" w:hAnsi="Times New Roman"/>
          <w:sz w:val="28"/>
          <w:szCs w:val="28"/>
        </w:rPr>
        <w:t>Центре</w:t>
      </w:r>
      <w:r>
        <w:rPr>
          <w:rFonts w:ascii="Times New Roman" w:hAnsi="Times New Roman"/>
          <w:sz w:val="28"/>
          <w:szCs w:val="28"/>
          <w:lang w:val="en-US"/>
        </w:rPr>
        <w:t xml:space="preserve">; с совершением административного правонарушения; с невыполнением условий заключенного договора </w:t>
      </w:r>
      <w:r>
        <w:rPr>
          <w:rFonts w:ascii="Times New Roman" w:hAnsi="Times New Roman"/>
          <w:sz w:val="28"/>
          <w:szCs w:val="28"/>
        </w:rPr>
        <w:t>об оказании платных образовательных услуг;</w:t>
      </w:r>
    </w:p>
    <w:p>
      <w:pPr>
        <w:pStyle w:val="NormalWeb"/>
        <w:spacing w:beforeAutospacing="0" w:before="0" w:afterAutospacing="0"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по обстоятельствам, не зависящим от воли слушателя 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, в том числе в случае ликвидации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5.2. Досрочное прекращение образовательных отношений по инициативе слушателя возможно только при возмещении слушателем или юридическим лицом, направившем слушателя на обучение, фактически понесенных Центром расходов по предоставленной программе обучения.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5.3. Основанием для прекращения образовательных отношений является приказ директора </w:t>
      </w:r>
      <w:r>
        <w:rPr>
          <w:rFonts w:cs="Times New Roman" w:ascii="Times New Roman" w:hAnsi="Times New Roman"/>
          <w:sz w:val="28"/>
          <w:szCs w:val="28"/>
        </w:rPr>
        <w:t>Центра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об отчислении слушателей из Центра. При досрочном прекращении образовательных отношений договор </w:t>
      </w:r>
      <w:r>
        <w:rPr>
          <w:rFonts w:cs="Times New Roman" w:ascii="Times New Roman" w:hAnsi="Times New Roman"/>
          <w:sz w:val="28"/>
          <w:szCs w:val="28"/>
        </w:rPr>
        <w:t xml:space="preserve">об оказании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платных образовательных услуг расторгается на основании приказа директора </w:t>
      </w:r>
      <w:r>
        <w:rPr>
          <w:rFonts w:cs="Times New Roman" w:ascii="Times New Roman" w:hAnsi="Times New Roman"/>
          <w:sz w:val="28"/>
          <w:szCs w:val="28"/>
        </w:rPr>
        <w:t>Центра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об отчислении слушателей из </w:t>
      </w:r>
      <w:r>
        <w:rPr>
          <w:rFonts w:cs="Times New Roman" w:ascii="Times New Roman" w:hAnsi="Times New Roman"/>
          <w:sz w:val="28"/>
          <w:szCs w:val="28"/>
        </w:rPr>
        <w:t>Центра</w:t>
      </w:r>
      <w:r>
        <w:rPr>
          <w:rFonts w:cs="Times New Roman" w:ascii="Times New Roman" w:hAnsi="Times New Roman"/>
          <w:sz w:val="28"/>
          <w:szCs w:val="28"/>
          <w:lang w:val="en-US"/>
        </w:rPr>
        <w:t>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5.4. Права и обязанности слушателей, предусмотренные законодательством об образовании </w:t>
      </w:r>
      <w:r>
        <w:rPr>
          <w:rFonts w:ascii="Times New Roman" w:hAnsi="Times New Roman"/>
          <w:iCs/>
          <w:sz w:val="28"/>
          <w:szCs w:val="28"/>
        </w:rPr>
        <w:t>Российской Федерации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и локальными актами </w:t>
      </w:r>
      <w:r>
        <w:rPr>
          <w:rFonts w:cs="Times New Roman" w:ascii="Times New Roman" w:hAnsi="Times New Roman"/>
          <w:sz w:val="28"/>
          <w:szCs w:val="28"/>
        </w:rPr>
        <w:t>Центра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, прекращаются с даты его отчисления из </w:t>
      </w:r>
      <w:r>
        <w:rPr>
          <w:rFonts w:cs="Times New Roman" w:ascii="Times New Roman" w:hAnsi="Times New Roman"/>
          <w:sz w:val="28"/>
          <w:szCs w:val="28"/>
        </w:rPr>
        <w:t>Центра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5.5. При досрочном прекращении образовательных отношений между </w:t>
      </w:r>
      <w:r>
        <w:rPr>
          <w:rFonts w:cs="Times New Roman" w:ascii="Times New Roman" w:hAnsi="Times New Roman"/>
          <w:sz w:val="28"/>
          <w:szCs w:val="28"/>
        </w:rPr>
        <w:t xml:space="preserve">Центром и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слушателем или юридическим лицом, направившем слушателя на обучение, по инициативе </w:t>
      </w:r>
      <w:r>
        <w:rPr>
          <w:rFonts w:cs="Times New Roman" w:ascii="Times New Roman" w:hAnsi="Times New Roman"/>
          <w:sz w:val="28"/>
          <w:szCs w:val="28"/>
        </w:rPr>
        <w:t>Центра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Центр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уведомляет об этом в письменной форме слушателя или юридическое лицо, направившее слушателя на обучение.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5.6. По истечении срока, установленного в уведомлении и не устранения фактических обстоятельств, являющихся основанием для прекращения образовательных отношений, издается приказ об отчислении слушателя с приложением документов, в том числе, подтверждающих уведомление слушателя или юридического лица, направившего слушателя на обучение, о предстоящем отчислении из </w:t>
      </w:r>
      <w:r>
        <w:rPr>
          <w:rFonts w:cs="Times New Roman" w:ascii="Times New Roman" w:hAnsi="Times New Roman"/>
          <w:sz w:val="28"/>
          <w:szCs w:val="28"/>
        </w:rPr>
        <w:t>Центра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en-US"/>
        </w:rPr>
        <w:t xml:space="preserve">. Копия приказа об отчислении направляется слушателю или лицу, направившему слушателя на обучение, по известному (последнему по времени) фактическому (домашнему) адресу проживания/месту нахождения юридического лица, содержащемся в личном деле слушателя.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5.7. При досрочном прекращении образовательных отношений между </w:t>
      </w:r>
      <w:r>
        <w:rPr>
          <w:rFonts w:cs="Times New Roman" w:ascii="Times New Roman" w:hAnsi="Times New Roman"/>
          <w:sz w:val="28"/>
          <w:szCs w:val="28"/>
        </w:rPr>
        <w:t xml:space="preserve">Центром и </w:t>
      </w:r>
      <w:r>
        <w:rPr>
          <w:rFonts w:cs="Times New Roman" w:ascii="Times New Roman" w:hAnsi="Times New Roman"/>
          <w:sz w:val="28"/>
          <w:szCs w:val="28"/>
          <w:lang w:val="en-US"/>
        </w:rPr>
        <w:t>слушателем или юридическим лицом, направившем слушателя на обучение, в трехдневный срок после издания приказа директора Центра об отчислении слушателя выдается слушателю, отчисленному из Центра справка об обучении.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6. Восстановление в Центре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6.1. Слушатель, отчисленный из </w:t>
      </w:r>
      <w:r>
        <w:rPr>
          <w:rFonts w:cs="Times New Roman" w:ascii="Times New Roman" w:hAnsi="Times New Roman"/>
          <w:sz w:val="28"/>
          <w:szCs w:val="28"/>
        </w:rPr>
        <w:t>Центра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и не освоивший дополнительную професиональную программу, имеет право в течение календарного года на восстановление для обучения в Центре при наличии личного заявления слушателя, желающего продолжить обучение, и заключении договора об оказании платных образовательных услуг с </w:t>
      </w:r>
      <w:r>
        <w:rPr>
          <w:rFonts w:cs="Times New Roman" w:ascii="Times New Roman" w:hAnsi="Times New Roman"/>
          <w:sz w:val="28"/>
          <w:szCs w:val="28"/>
        </w:rPr>
        <w:t>Центром</w:t>
      </w:r>
      <w:r>
        <w:rPr>
          <w:rFonts w:cs="Times New Roman" w:ascii="Times New Roman" w:hAnsi="Times New Roman"/>
          <w:sz w:val="28"/>
          <w:szCs w:val="28"/>
          <w:lang w:val="en-US"/>
        </w:rPr>
        <w:t>.</w:t>
      </w:r>
    </w:p>
    <w:p>
      <w:pPr>
        <w:pStyle w:val="Normal"/>
        <w:ind w:left="6096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7. Заключительные положения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7.1 Внесение изменений в настоящий Порядок осуществляется в установленном в Центре порядке.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7.2. Настоящий Порядок утверждается приказом директора Центра, действует с момента его утверждения и до его изменения.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7.3. Настоящий Порядок после утверждения </w:t>
      </w:r>
      <w:r>
        <w:rPr>
          <w:rFonts w:cs="Times New Roman" w:ascii="Times New Roman" w:hAnsi="Times New Roman"/>
          <w:sz w:val="28"/>
          <w:szCs w:val="28"/>
        </w:rPr>
        <w:t>размещается на официальном сайте Центра.</w:t>
      </w:r>
    </w:p>
    <w:p>
      <w:pPr>
        <w:pStyle w:val="Normal"/>
        <w:tabs>
          <w:tab w:val="left" w:pos="2321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/>
        <w:ind w:left="6096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276" w:right="706" w:header="0" w:top="567" w:footer="400" w:bottom="709" w:gutter="0"/>
      <w:pgNumType w:fmt="decimal"/>
      <w:formProt w:val="false"/>
      <w:textDirection w:val="lrTb"/>
      <w:docGrid w:type="default" w:linePitch="27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88900</wp:posOffset>
              </wp:positionV>
              <wp:extent cx="64135" cy="34163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3416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cs="Times New Roman"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26.9pt;mso-wrap-distance-left:0pt;mso-wrap-distance-right:0pt;mso-wrap-distance-top:0pt;mso-wrap-distance-bottom:0pt;margin-top:7pt;mso-position-vertical-relative:text;margin-left:491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/>
                    </w:pPr>
                    <w:r>
                      <w:rPr>
                        <w:rStyle w:val="Pagenumber"/>
                        <w:rFonts w:cs="Times New Roman" w:ascii="Times New Roman" w:hAnsi="Times New Roman"/>
                        <w:sz w:val="2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9b72dd"/>
    <w:pPr>
      <w:keepNext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2">
    <w:name w:val="Заголовок 2"/>
    <w:basedOn w:val="Normal"/>
    <w:link w:val="20"/>
    <w:qFormat/>
    <w:rsid w:val="00c352a1"/>
    <w:pPr>
      <w:keepNext/>
      <w:widowControl w:val="false"/>
      <w:suppressAutoHyphens w:val="true"/>
      <w:spacing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paragraph" w:styleId="3">
    <w:name w:val="Заголовок 3"/>
    <w:basedOn w:val="Normal"/>
    <w:link w:val="30"/>
    <w:qFormat/>
    <w:rsid w:val="00c352a1"/>
    <w:pPr>
      <w:keepNext/>
      <w:widowControl w:val="false"/>
      <w:suppressAutoHyphens w:val="true"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f63d3d"/>
    <w:rPr/>
  </w:style>
  <w:style w:type="character" w:styleId="21" w:customStyle="1">
    <w:name w:val="Заголовок 2 Знак"/>
    <w:basedOn w:val="DefaultParagraphFont"/>
    <w:link w:val="2"/>
    <w:qFormat/>
    <w:rsid w:val="00c352a1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c352a1"/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Copy3" w:customStyle="1">
    <w:name w:val="copy3"/>
    <w:basedOn w:val="DefaultParagraphFont"/>
    <w:qFormat/>
    <w:rsid w:val="00c352a1"/>
    <w:rPr/>
  </w:style>
  <w:style w:type="character" w:styleId="Style11" w:customStyle="1">
    <w:name w:val="Нижний колонтитул Знак"/>
    <w:basedOn w:val="DefaultParagraphFont"/>
    <w:link w:val="a4"/>
    <w:uiPriority w:val="99"/>
    <w:qFormat/>
    <w:rsid w:val="00e124e2"/>
    <w:rPr/>
  </w:style>
  <w:style w:type="character" w:styleId="Pagenumber">
    <w:name w:val="page number"/>
    <w:basedOn w:val="DefaultParagraphFont"/>
    <w:uiPriority w:val="99"/>
    <w:semiHidden/>
    <w:unhideWhenUsed/>
    <w:qFormat/>
    <w:rsid w:val="00e124e2"/>
    <w:rPr/>
  </w:style>
  <w:style w:type="character" w:styleId="Style12" w:customStyle="1">
    <w:name w:val="Верхний колонтитул Знак"/>
    <w:basedOn w:val="DefaultParagraphFont"/>
    <w:link w:val="a7"/>
    <w:uiPriority w:val="99"/>
    <w:qFormat/>
    <w:rsid w:val="00e124e2"/>
    <w:rPr/>
  </w:style>
  <w:style w:type="character" w:styleId="Style13">
    <w:name w:val="Выделение"/>
    <w:basedOn w:val="DefaultParagraphFont"/>
    <w:uiPriority w:val="20"/>
    <w:qFormat/>
    <w:rsid w:val="00db77df"/>
    <w:rPr>
      <w:i/>
      <w:iCs/>
    </w:rPr>
  </w:style>
  <w:style w:type="character" w:styleId="St" w:customStyle="1">
    <w:name w:val="st"/>
    <w:basedOn w:val="DefaultParagraphFont"/>
    <w:qFormat/>
    <w:rsid w:val="00db77df"/>
    <w:rPr/>
  </w:style>
  <w:style w:type="character" w:styleId="Style14" w:customStyle="1">
    <w:name w:val="Название Знак"/>
    <w:basedOn w:val="DefaultParagraphFont"/>
    <w:link w:val="ab"/>
    <w:qFormat/>
    <w:rsid w:val="00f6727a"/>
    <w:rPr>
      <w:rFonts w:ascii="Times New Roman" w:hAnsi="Times New Roman" w:eastAsia="Times New Roman" w:cs="Times New Roman"/>
      <w:b/>
      <w:sz w:val="28"/>
      <w:szCs w:val="20"/>
      <w:lang w:val="x-none"/>
    </w:rPr>
  </w:style>
  <w:style w:type="character" w:styleId="Style15" w:customStyle="1">
    <w:name w:val="Основной текст Знак"/>
    <w:basedOn w:val="DefaultParagraphFont"/>
    <w:link w:val="ad"/>
    <w:qFormat/>
    <w:rsid w:val="00026ce9"/>
    <w:rPr>
      <w:rFonts w:ascii="Times New Roman" w:hAnsi="Times New Roman" w:eastAsia="Times New Roman" w:cs="Times New Roman"/>
      <w:spacing w:val="0"/>
      <w:sz w:val="22"/>
      <w:szCs w:val="20"/>
      <w:lang w:val="x-none" w:eastAsia="x-none"/>
    </w:rPr>
  </w:style>
  <w:style w:type="character" w:styleId="Style16" w:customStyle="1">
    <w:name w:val="Текст сноски Знак"/>
    <w:basedOn w:val="DefaultParagraphFont"/>
    <w:link w:val="af"/>
    <w:semiHidden/>
    <w:qFormat/>
    <w:rsid w:val="00026ce9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semiHidden/>
    <w:qFormat/>
    <w:rsid w:val="00026ce9"/>
    <w:rPr>
      <w:vertAlign w:val="superscript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qFormat/>
    <w:rsid w:val="003d6a30"/>
    <w:rPr/>
  </w:style>
  <w:style w:type="character" w:styleId="23" w:customStyle="1">
    <w:name w:val="Основной текст 2 Знак"/>
    <w:basedOn w:val="DefaultParagraphFont"/>
    <w:link w:val="24"/>
    <w:uiPriority w:val="99"/>
    <w:qFormat/>
    <w:rsid w:val="003d6a30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b72dd"/>
    <w:rPr>
      <w:rFonts w:ascii="Calibri" w:hAnsi="Calibri" w:eastAsia="ＭＳ ゴシック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Style17">
    <w:name w:val="Интернет-ссылка"/>
    <w:basedOn w:val="DefaultParagraphFont"/>
    <w:uiPriority w:val="99"/>
    <w:semiHidden/>
    <w:unhideWhenUsed/>
    <w:rsid w:val="009b72dd"/>
    <w:rPr>
      <w:color w:val="0000FF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strike w:val="false"/>
      <w:dstrike w:val="fals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rFonts w:eastAsia="Times New Roman" w:cs="Times New Roman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9">
    <w:name w:val="Основной текст"/>
    <w:basedOn w:val="Normal"/>
    <w:link w:val="ae"/>
    <w:rsid w:val="00026ce9"/>
    <w:pPr>
      <w:widowControl w:val="false"/>
      <w:spacing w:lineRule="auto" w:line="300" w:before="200" w:after="120"/>
      <w:ind w:firstLine="760"/>
      <w:jc w:val="both"/>
    </w:pPr>
    <w:rPr>
      <w:rFonts w:ascii="Times New Roman" w:hAnsi="Times New Roman" w:eastAsia="Times New Roman" w:cs="Times New Roman"/>
      <w:spacing w:val="0"/>
      <w:sz w:val="22"/>
      <w:szCs w:val="20"/>
      <w:lang w:val="x-none" w:eastAsia="x-none"/>
    </w:rPr>
  </w:style>
  <w:style w:type="paragraph" w:styleId="Style20">
    <w:name w:val="Список"/>
    <w:basedOn w:val="Style19"/>
    <w:pPr/>
    <w:rPr>
      <w:rFonts w:cs="Lucida 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552b4c"/>
    <w:pPr>
      <w:widowControl w:val="false"/>
      <w:bidi w:val="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9733a9"/>
    <w:pPr>
      <w:widowControl/>
      <w:bidi w:val="0"/>
      <w:jc w:val="left"/>
    </w:pPr>
    <w:rPr>
      <w:rFonts w:ascii="Calibri" w:hAnsi="Calibri" w:eastAsia="Cambria" w:cs="Calibri" w:eastAsiaTheme="minorHAnsi"/>
      <w:color w:val="000000"/>
      <w:sz w:val="24"/>
      <w:szCs w:val="24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c352a1"/>
    <w:pPr>
      <w:suppressAutoHyphens w:val="true"/>
      <w:spacing w:before="0" w:after="200"/>
      <w:ind w:left="720" w:hanging="0"/>
      <w:jc w:val="both"/>
    </w:pPr>
    <w:rPr>
      <w:rFonts w:ascii="Times New Roman" w:hAnsi="Times New Roman" w:eastAsia="Calibri" w:cs="Times New Roman"/>
      <w:sz w:val="20"/>
      <w:szCs w:val="22"/>
      <w:lang w:eastAsia="ar-SA"/>
    </w:rPr>
  </w:style>
  <w:style w:type="paragraph" w:styleId="211" w:customStyle="1">
    <w:name w:val="Основной текст 21"/>
    <w:basedOn w:val="Normal"/>
    <w:qFormat/>
    <w:rsid w:val="004c6df9"/>
    <w:pPr>
      <w:widowControl w:val="false"/>
      <w:spacing w:lineRule="auto" w:line="360"/>
      <w:ind w:firstLine="720"/>
      <w:jc w:val="both"/>
    </w:pPr>
    <w:rPr>
      <w:rFonts w:ascii="Times New Roman" w:hAnsi="Times New Roman" w:eastAsia="Times New Roman" w:cs="Times New Roman"/>
      <w:szCs w:val="20"/>
    </w:rPr>
  </w:style>
  <w:style w:type="paragraph" w:styleId="Iauiue" w:customStyle="1">
    <w:name w:val="Iau?iue"/>
    <w:qFormat/>
    <w:rsid w:val="004c6df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Style23">
    <w:name w:val="Нижний колонтитул"/>
    <w:basedOn w:val="Normal"/>
    <w:link w:val="a5"/>
    <w:uiPriority w:val="99"/>
    <w:unhideWhenUsed/>
    <w:rsid w:val="00e124e2"/>
    <w:pPr>
      <w:tabs>
        <w:tab w:val="center" w:pos="4677" w:leader="none"/>
        <w:tab w:val="right" w:pos="9355" w:leader="none"/>
      </w:tabs>
    </w:pPr>
    <w:rPr/>
  </w:style>
  <w:style w:type="paragraph" w:styleId="Style24">
    <w:name w:val="Верхний колонтитул"/>
    <w:basedOn w:val="Normal"/>
    <w:link w:val="a8"/>
    <w:uiPriority w:val="99"/>
    <w:unhideWhenUsed/>
    <w:rsid w:val="00e124e2"/>
    <w:pPr>
      <w:tabs>
        <w:tab w:val="center" w:pos="4677" w:leader="none"/>
        <w:tab w:val="right" w:pos="9355" w:leader="none"/>
      </w:tabs>
    </w:pPr>
    <w:rPr/>
  </w:style>
  <w:style w:type="paragraph" w:styleId="ConsPlusCell" w:customStyle="1">
    <w:name w:val="ConsPlusCell"/>
    <w:uiPriority w:val="99"/>
    <w:qFormat/>
    <w:rsid w:val="00cf2d17"/>
    <w:pPr>
      <w:widowControl w:val="false"/>
      <w:bidi w:val="0"/>
      <w:jc w:val="left"/>
    </w:pPr>
    <w:rPr>
      <w:rFonts w:ascii="Times New Roman" w:hAnsi="Times New Roman" w:cs="Times New Roman" w:eastAsia="ＭＳ 明朝" w:eastAsiaTheme="minorEastAsia"/>
      <w:color w:val="auto"/>
      <w:sz w:val="24"/>
      <w:szCs w:val="24"/>
      <w:lang w:val="ru-RU" w:eastAsia="ru-RU" w:bidi="ar-SA"/>
    </w:rPr>
  </w:style>
  <w:style w:type="paragraph" w:styleId="Style25">
    <w:name w:val="Заглавие"/>
    <w:basedOn w:val="Normal"/>
    <w:link w:val="ac"/>
    <w:qFormat/>
    <w:rsid w:val="00f6727a"/>
    <w:pPr>
      <w:jc w:val="center"/>
    </w:pPr>
    <w:rPr>
      <w:rFonts w:ascii="Times New Roman" w:hAnsi="Times New Roman" w:eastAsia="Times New Roman" w:cs="Times New Roman"/>
      <w:b/>
      <w:sz w:val="28"/>
      <w:szCs w:val="20"/>
      <w:lang w:val="x-none"/>
    </w:rPr>
  </w:style>
  <w:style w:type="paragraph" w:styleId="P2" w:customStyle="1">
    <w:name w:val="p2"/>
    <w:basedOn w:val="Normal"/>
    <w:qFormat/>
    <w:rsid w:val="00f6727a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ConsPlusNonformat" w:customStyle="1">
    <w:name w:val="ConsPlusNonformat"/>
    <w:qFormat/>
    <w:rsid w:val="00de5513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Footnotetext">
    <w:name w:val="footnote text"/>
    <w:basedOn w:val="Normal"/>
    <w:link w:val="af0"/>
    <w:semiHidden/>
    <w:qFormat/>
    <w:rsid w:val="00026ce9"/>
    <w:pPr/>
    <w:rPr>
      <w:rFonts w:ascii="Times New Roman" w:hAnsi="Times New Roman" w:eastAsia="Times New Roman" w:cs="Times New Roman"/>
      <w:sz w:val="20"/>
      <w:szCs w:val="20"/>
    </w:rPr>
  </w:style>
  <w:style w:type="paragraph" w:styleId="BodyTextIndent2">
    <w:name w:val="Body Text Indent 2"/>
    <w:basedOn w:val="Normal"/>
    <w:link w:val="23"/>
    <w:uiPriority w:val="99"/>
    <w:unhideWhenUsed/>
    <w:qFormat/>
    <w:rsid w:val="003d6a30"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link w:val="25"/>
    <w:uiPriority w:val="99"/>
    <w:unhideWhenUsed/>
    <w:qFormat/>
    <w:rsid w:val="003d6a30"/>
    <w:pPr>
      <w:spacing w:lineRule="auto" w:line="480" w:before="0" w:after="120"/>
    </w:pPr>
    <w:rPr/>
  </w:style>
  <w:style w:type="paragraph" w:styleId="NormalWeb">
    <w:name w:val="Normal (Web)"/>
    <w:basedOn w:val="Normal"/>
    <w:uiPriority w:val="99"/>
    <w:unhideWhenUsed/>
    <w:qFormat/>
    <w:rsid w:val="00a1328c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Блочная цитата"/>
    <w:basedOn w:val="Normal"/>
    <w:qFormat/>
    <w:pPr/>
    <w:rPr/>
  </w:style>
  <w:style w:type="paragraph" w:styleId="Style28">
    <w:name w:val="Подзаголовок"/>
    <w:basedOn w:val="Style18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72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Application>LibreOffice/5.0.2.2$MacOSX_X86_64 LibreOffice_project/37b43f919e4de5eeaca9b9755ed688758a8251fe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2018-01-29T04:23:00Z</dcterms:created>
  <dc:creator>user</dc:creator>
  <dc:language>ru-RU</dc:language>
  <cp:lastPrinted>2018-01-23T05:29:00Z</cp:lastPrinted>
  <dcterms:modified xsi:type="dcterms:W3CDTF">2020-02-23T13:56:40Z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